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DC" w:rsidRPr="00870429" w:rsidRDefault="00B526DC" w:rsidP="00CB1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</w:pPr>
      <w:r w:rsidRPr="0087042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t>Komentarz do stosowania priorytetów wydatkowania KFS</w:t>
      </w:r>
    </w:p>
    <w:p w:rsidR="00B526DC" w:rsidRPr="00870429" w:rsidRDefault="00B526DC" w:rsidP="00B5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</w:pPr>
      <w:r w:rsidRPr="0087042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t xml:space="preserve"> w 2026 roku </w:t>
      </w:r>
    </w:p>
    <w:p w:rsidR="00AC34AE" w:rsidRPr="00AC34AE" w:rsidRDefault="00AC34AE" w:rsidP="00AC3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4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62284" w:rsidRPr="00CB1BF5" w:rsidRDefault="00CB1BF5" w:rsidP="00CB1BF5">
      <w:pPr>
        <w:ind w:left="1418" w:hanging="141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B1BF5">
        <w:rPr>
          <w:rFonts w:asciiTheme="majorBidi" w:hAnsiTheme="majorBidi" w:cstheme="majorBidi"/>
          <w:b/>
          <w:bCs/>
          <w:sz w:val="28"/>
          <w:szCs w:val="28"/>
        </w:rPr>
        <w:t>PRIORYTETY OGÓLNOPOLSKIE/OGÓLNOKRAJOWE</w:t>
      </w:r>
    </w:p>
    <w:p w:rsidR="004E5D61" w:rsidRPr="00870429" w:rsidRDefault="00BB7D23" w:rsidP="004E5D6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870429">
        <w:rPr>
          <w:rFonts w:asciiTheme="majorBidi" w:hAnsiTheme="majorBidi" w:cstheme="majorBidi"/>
          <w:b/>
          <w:bCs/>
        </w:rPr>
        <w:t>PRIORYTET NR 1</w:t>
      </w:r>
    </w:p>
    <w:p w:rsidR="00B526DC" w:rsidRPr="00870429" w:rsidRDefault="00B526DC" w:rsidP="004E5D6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870429">
        <w:rPr>
          <w:rFonts w:asciiTheme="majorBidi" w:hAnsiTheme="majorBidi" w:cstheme="majorBidi"/>
          <w:b/>
          <w:bCs/>
        </w:rPr>
        <w:t xml:space="preserve">Poprawa zarządzania i komunikacji w firmie w oparciu o zasady przeciwdziałania   dyskryminacji i </w:t>
      </w:r>
      <w:proofErr w:type="spellStart"/>
      <w:r w:rsidRPr="00870429">
        <w:rPr>
          <w:rFonts w:asciiTheme="majorBidi" w:hAnsiTheme="majorBidi" w:cstheme="majorBidi"/>
          <w:b/>
          <w:bCs/>
        </w:rPr>
        <w:t>mobbingowi</w:t>
      </w:r>
      <w:proofErr w:type="spellEnd"/>
      <w:r w:rsidRPr="00870429">
        <w:rPr>
          <w:rFonts w:asciiTheme="majorBidi" w:hAnsiTheme="majorBidi" w:cstheme="majorBidi"/>
          <w:b/>
          <w:bCs/>
        </w:rPr>
        <w:t>, rozwoju dialogu społecznego, partycypacji pracowniczej i wspierania integracji w miejscu pracy</w:t>
      </w:r>
      <w:r w:rsidR="00AC34AE" w:rsidRPr="00870429">
        <w:rPr>
          <w:rFonts w:asciiTheme="majorBidi" w:hAnsiTheme="majorBidi" w:cstheme="majorBidi"/>
          <w:b/>
          <w:bCs/>
        </w:rPr>
        <w:t>.</w:t>
      </w:r>
    </w:p>
    <w:p w:rsidR="004E5D61" w:rsidRPr="00642E28" w:rsidRDefault="004E5D61" w:rsidP="004E5D6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B050"/>
        </w:rPr>
      </w:pPr>
    </w:p>
    <w:p w:rsidR="00AC34AE" w:rsidRDefault="00AC34AE" w:rsidP="009E522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E5221">
        <w:rPr>
          <w:rFonts w:asciiTheme="majorBidi" w:hAnsiTheme="majorBidi" w:cstheme="majorBidi"/>
          <w:sz w:val="24"/>
          <w:szCs w:val="24"/>
        </w:rPr>
        <w:t>Mobbing</w:t>
      </w:r>
      <w:proofErr w:type="spellEnd"/>
      <w:r w:rsidRPr="009E5221">
        <w:rPr>
          <w:rFonts w:asciiTheme="majorBidi" w:hAnsiTheme="majorBidi" w:cstheme="majorBidi"/>
          <w:sz w:val="24"/>
          <w:szCs w:val="24"/>
        </w:rPr>
        <w:t xml:space="preserve"> i dyskryminacja to jedno z najpoważniejszych zagrożeń spotykanych w wielu firmach. Dlatego kreowanie bezpiecznego i wspierającego środowiska pracy jest kluczową rolą pracodawców, sprzyja efektywności pracowników. Dialog społeczny stanowi bardzo ważną funkcję w zapobieganiu tym zjawiskom. Poprzez współpracę między pracodawcami, pracownikami i związkami zawodowymi możliwe jest wykształcenie umiejętności identyfikowania oraz reagowania na </w:t>
      </w:r>
      <w:proofErr w:type="spellStart"/>
      <w:r w:rsidRPr="009E5221">
        <w:rPr>
          <w:rFonts w:asciiTheme="majorBidi" w:hAnsiTheme="majorBidi" w:cstheme="majorBidi"/>
          <w:sz w:val="24"/>
          <w:szCs w:val="24"/>
        </w:rPr>
        <w:t>mobbing</w:t>
      </w:r>
      <w:proofErr w:type="spellEnd"/>
      <w:r w:rsidRPr="009E5221">
        <w:rPr>
          <w:rFonts w:asciiTheme="majorBidi" w:hAnsiTheme="majorBidi" w:cstheme="majorBidi"/>
          <w:sz w:val="24"/>
          <w:szCs w:val="24"/>
        </w:rPr>
        <w:t xml:space="preserve"> i dyskryminację na każdym szczeblu organizacyjnym, co przyczynia się do budowania kultur organizacyjnych opartych na szacunku i równości.</w:t>
      </w:r>
    </w:p>
    <w:p w:rsidR="00AC34AE" w:rsidRPr="009E5221" w:rsidRDefault="00AC34AE" w:rsidP="009E5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E5221">
        <w:rPr>
          <w:rFonts w:asciiTheme="majorBidi" w:hAnsiTheme="majorBidi" w:cstheme="majorBidi"/>
          <w:sz w:val="24"/>
          <w:szCs w:val="24"/>
        </w:rPr>
        <w:t>Szkolenia powinny zatem zawierać tematykę, w ramach której pracodawcy i pracownicy</w:t>
      </w:r>
    </w:p>
    <w:p w:rsidR="00AC34AE" w:rsidRPr="00AC34AE" w:rsidRDefault="00BB7D23" w:rsidP="009E5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C34AE" w:rsidRPr="00AC34AE">
        <w:rPr>
          <w:rFonts w:asciiTheme="majorBidi" w:hAnsiTheme="majorBidi" w:cstheme="majorBidi"/>
          <w:sz w:val="24"/>
          <w:szCs w:val="24"/>
        </w:rPr>
        <w:t>zostaną wyposażeni w wiedzę i umiejętności m.in.:</w:t>
      </w:r>
    </w:p>
    <w:p w:rsidR="00AC34AE" w:rsidRPr="00AC34AE" w:rsidRDefault="00AC34AE" w:rsidP="00F21A35">
      <w:pPr>
        <w:pStyle w:val="Akapitzlist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 xml:space="preserve">do rozpoznawania, rozumienia i przeciwdziałania </w:t>
      </w:r>
      <w:proofErr w:type="spellStart"/>
      <w:r w:rsidRPr="00AC34AE">
        <w:rPr>
          <w:rFonts w:asciiTheme="majorBidi" w:hAnsiTheme="majorBidi" w:cstheme="majorBidi"/>
          <w:sz w:val="24"/>
          <w:szCs w:val="24"/>
        </w:rPr>
        <w:t>mobbingowi</w:t>
      </w:r>
      <w:proofErr w:type="spellEnd"/>
      <w:r w:rsidRPr="00AC34AE">
        <w:rPr>
          <w:rFonts w:asciiTheme="majorBidi" w:hAnsiTheme="majorBidi" w:cstheme="majorBidi"/>
          <w:sz w:val="24"/>
          <w:szCs w:val="24"/>
        </w:rPr>
        <w:t xml:space="preserve"> w miejscu pracy, co</w:t>
      </w:r>
    </w:p>
    <w:p w:rsidR="00AC34AE" w:rsidRPr="00AC34AE" w:rsidRDefault="00AC34AE" w:rsidP="00F21A35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>zwiększy ich uważność na sposób komunikacji i budowania relacji w ich zespołach,</w:t>
      </w:r>
    </w:p>
    <w:p w:rsidR="00AC34AE" w:rsidRPr="00AC34AE" w:rsidRDefault="00AC34AE" w:rsidP="00F21A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 xml:space="preserve">dotyczące różnych formy </w:t>
      </w:r>
      <w:proofErr w:type="spellStart"/>
      <w:r w:rsidRPr="00AC34AE">
        <w:rPr>
          <w:rFonts w:asciiTheme="majorBidi" w:hAnsiTheme="majorBidi" w:cstheme="majorBidi"/>
          <w:sz w:val="24"/>
          <w:szCs w:val="24"/>
        </w:rPr>
        <w:t>mobbingu</w:t>
      </w:r>
      <w:proofErr w:type="spellEnd"/>
      <w:r w:rsidRPr="00AC34AE">
        <w:rPr>
          <w:rFonts w:asciiTheme="majorBidi" w:hAnsiTheme="majorBidi" w:cstheme="majorBidi"/>
          <w:sz w:val="24"/>
          <w:szCs w:val="24"/>
        </w:rPr>
        <w:t>, jak zrozumieć jego wpływ na zespół oraz jak</w:t>
      </w:r>
    </w:p>
    <w:p w:rsidR="00AC34AE" w:rsidRPr="00AC34AE" w:rsidRDefault="00AC34AE" w:rsidP="00F21A35">
      <w:pPr>
        <w:spacing w:after="0" w:line="240" w:lineRule="auto"/>
        <w:ind w:left="1418" w:hanging="141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AC34AE">
        <w:rPr>
          <w:rFonts w:asciiTheme="majorBidi" w:hAnsiTheme="majorBidi" w:cstheme="majorBidi"/>
          <w:sz w:val="24"/>
          <w:szCs w:val="24"/>
        </w:rPr>
        <w:t xml:space="preserve">skutecznie reagować i zapobiegać sytuacjom o charakterze </w:t>
      </w:r>
      <w:proofErr w:type="spellStart"/>
      <w:r w:rsidRPr="00AC34AE">
        <w:rPr>
          <w:rFonts w:asciiTheme="majorBidi" w:hAnsiTheme="majorBidi" w:cstheme="majorBidi"/>
          <w:sz w:val="24"/>
          <w:szCs w:val="24"/>
        </w:rPr>
        <w:t>mobbingu</w:t>
      </w:r>
      <w:proofErr w:type="spellEnd"/>
      <w:r w:rsidRPr="00AC34AE">
        <w:rPr>
          <w:rFonts w:asciiTheme="majorBidi" w:hAnsiTheme="majorBidi" w:cstheme="majorBidi"/>
          <w:sz w:val="24"/>
          <w:szCs w:val="24"/>
        </w:rPr>
        <w:t xml:space="preserve"> w przyszłości,</w:t>
      </w:r>
    </w:p>
    <w:p w:rsidR="00AC34AE" w:rsidRDefault="00AC34AE" w:rsidP="00F21A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 xml:space="preserve">rozpoznawania/uważności (szczególnie menedżerowie/pracodawcy) na zachowania </w:t>
      </w:r>
    </w:p>
    <w:p w:rsidR="00AC34AE" w:rsidRPr="00AC34AE" w:rsidRDefault="00AC34AE" w:rsidP="00F21A35">
      <w:pPr>
        <w:pStyle w:val="Akapitzlist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relacje w zespołach,</w:t>
      </w:r>
    </w:p>
    <w:p w:rsidR="00AC34AE" w:rsidRPr="00AC34AE" w:rsidRDefault="00AC34AE" w:rsidP="00F21A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 xml:space="preserve"> do promowania bezpiecznego i wspierającego środowiska pracy,</w:t>
      </w:r>
    </w:p>
    <w:p w:rsidR="00AC34AE" w:rsidRPr="00AC34AE" w:rsidRDefault="00AC34AE" w:rsidP="00F21A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 xml:space="preserve"> na temat skutków społecznych i prawnych </w:t>
      </w:r>
      <w:proofErr w:type="spellStart"/>
      <w:r w:rsidRPr="00AC34AE">
        <w:rPr>
          <w:rFonts w:asciiTheme="majorBidi" w:hAnsiTheme="majorBidi" w:cstheme="majorBidi"/>
          <w:sz w:val="24"/>
          <w:szCs w:val="24"/>
        </w:rPr>
        <w:t>mobbingu</w:t>
      </w:r>
      <w:proofErr w:type="spellEnd"/>
      <w:r w:rsidRPr="00AC34AE">
        <w:rPr>
          <w:rFonts w:asciiTheme="majorBidi" w:hAnsiTheme="majorBidi" w:cstheme="majorBidi"/>
          <w:sz w:val="24"/>
          <w:szCs w:val="24"/>
        </w:rPr>
        <w:t xml:space="preserve"> lub dyskryminacji,</w:t>
      </w:r>
    </w:p>
    <w:p w:rsidR="00AC34AE" w:rsidRPr="00AC34AE" w:rsidRDefault="00AC34AE" w:rsidP="00F21A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 xml:space="preserve"> dotyczące wdrażania procedur przeciwdziałania i reagowania na przypadki</w:t>
      </w:r>
    </w:p>
    <w:p w:rsidR="00AC34AE" w:rsidRDefault="00AC34AE" w:rsidP="00F21A35">
      <w:pPr>
        <w:spacing w:after="0" w:line="240" w:lineRule="auto"/>
        <w:ind w:left="1418" w:hanging="141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AC34AE">
        <w:rPr>
          <w:rFonts w:asciiTheme="majorBidi" w:hAnsiTheme="majorBidi" w:cstheme="majorBidi"/>
          <w:sz w:val="24"/>
          <w:szCs w:val="24"/>
        </w:rPr>
        <w:t>nieprawidłowości.</w:t>
      </w:r>
    </w:p>
    <w:p w:rsidR="009E5221" w:rsidRDefault="009E5221" w:rsidP="00AC34AE">
      <w:pPr>
        <w:spacing w:after="0" w:line="240" w:lineRule="auto"/>
        <w:ind w:left="1058" w:hanging="1418"/>
        <w:jc w:val="both"/>
        <w:rPr>
          <w:rFonts w:asciiTheme="majorBidi" w:hAnsiTheme="majorBidi" w:cstheme="majorBidi"/>
          <w:sz w:val="24"/>
          <w:szCs w:val="24"/>
        </w:rPr>
      </w:pPr>
    </w:p>
    <w:p w:rsidR="00AC34AE" w:rsidRPr="00AC34AE" w:rsidRDefault="00AC34AE" w:rsidP="00D622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>Szkolenia tego typu mają na celu wzmocnienie umiejętności zarządzania, poprawę</w:t>
      </w:r>
      <w:r w:rsidR="00EA4A19"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komunikacji wewnętrznej</w:t>
      </w:r>
      <w:r w:rsidR="00EA4A19"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 xml:space="preserve">oraz stworzenie środowiska opartego na równości, integracji </w:t>
      </w:r>
      <w:r>
        <w:rPr>
          <w:rFonts w:asciiTheme="majorBidi" w:hAnsiTheme="majorBidi" w:cstheme="majorBidi"/>
          <w:sz w:val="24"/>
          <w:szCs w:val="24"/>
        </w:rPr>
        <w:br/>
      </w:r>
      <w:r w:rsidRPr="00AC34AE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zaangażowaniu pracowników. Realizacja tych celów wpływa na budowanie kultury</w:t>
      </w:r>
    </w:p>
    <w:p w:rsidR="00AC34AE" w:rsidRDefault="00AC34AE" w:rsidP="009E5221">
      <w:pPr>
        <w:spacing w:after="0" w:line="360" w:lineRule="auto"/>
        <w:ind w:left="1418" w:hanging="1418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>organizacyjnej, która sprzyja efektywności i zadowoleniu zespołu.</w:t>
      </w:r>
    </w:p>
    <w:p w:rsidR="00AC34AE" w:rsidRPr="00AC34AE" w:rsidRDefault="00AC34AE" w:rsidP="00D622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>Priorytet ten ma również zachęcać do tworzenia i oferuje wsparcie w zakresie zasad</w:t>
      </w:r>
      <w:r w:rsidR="00D62284"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funkcjonowania i działania rad pracowniczych – na poziomie unijnym i poszczególnych krajów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UE. Ma pomóc znaleźć odpowiedź na pytanie jak promować reprezentację pracowniczą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w postaci rad pracowniczych w Polsce. W obliczu wymogu prawnego (ustawa z dnia 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kwietnia 2006 r. o informowaniu pracowników i przeprowadzaniu z nimi konsultacji (Dz.U. nr 79,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poz. 550) powołania Rady Pracowników przez pracodawców zatrudniających co najmniej 50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pracowników lub na wniosek co najmniej 10% załogi, staje się jasne, jak kluczowe jest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34AE">
        <w:rPr>
          <w:rFonts w:asciiTheme="majorBidi" w:hAnsiTheme="majorBidi" w:cstheme="majorBidi"/>
          <w:sz w:val="24"/>
          <w:szCs w:val="24"/>
        </w:rPr>
        <w:t>prawidłowe funkcjonowanie tych organów.</w:t>
      </w:r>
    </w:p>
    <w:p w:rsidR="00AC34AE" w:rsidRPr="00AC34AE" w:rsidRDefault="00AC34AE" w:rsidP="00642E28">
      <w:pPr>
        <w:spacing w:after="0" w:line="240" w:lineRule="auto"/>
        <w:ind w:left="1418" w:hanging="1418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>Rady Pracowników pełnią istotną rolę w zapewnianiu płynności komunikacji pomiędzy</w:t>
      </w:r>
    </w:p>
    <w:p w:rsidR="00AC34AE" w:rsidRDefault="00AC34AE" w:rsidP="00642E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4AE">
        <w:rPr>
          <w:rFonts w:asciiTheme="majorBidi" w:hAnsiTheme="majorBidi" w:cstheme="majorBidi"/>
          <w:sz w:val="24"/>
          <w:szCs w:val="24"/>
        </w:rPr>
        <w:t>pracownikami a pracodawcą, szczególnie w przypadkach, gdzie związki zawodowe nie są</w:t>
      </w:r>
      <w:r w:rsidR="00D62284">
        <w:rPr>
          <w:rFonts w:asciiTheme="majorBidi" w:hAnsiTheme="majorBidi" w:cstheme="majorBidi"/>
          <w:sz w:val="24"/>
          <w:szCs w:val="24"/>
        </w:rPr>
        <w:t xml:space="preserve"> </w:t>
      </w:r>
      <w:r w:rsidR="00D62284" w:rsidRPr="00D62284">
        <w:rPr>
          <w:rFonts w:asciiTheme="majorBidi" w:hAnsiTheme="majorBidi" w:cstheme="majorBidi"/>
          <w:sz w:val="24"/>
          <w:szCs w:val="24"/>
        </w:rPr>
        <w:t>obecne.</w:t>
      </w:r>
    </w:p>
    <w:p w:rsidR="00BB7D23" w:rsidRPr="00BB7D23" w:rsidRDefault="00BB7D23" w:rsidP="00642E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7D23">
        <w:rPr>
          <w:rFonts w:asciiTheme="majorBidi" w:hAnsiTheme="majorBidi" w:cstheme="majorBidi"/>
          <w:sz w:val="24"/>
          <w:szCs w:val="24"/>
        </w:rPr>
        <w:t>Priorytet adresowany do wszystkich zainteresowanych pracodawców. Nie ma znaczenia kod</w:t>
      </w:r>
    </w:p>
    <w:p w:rsidR="00BB7D23" w:rsidRPr="00BB7D23" w:rsidRDefault="00BB7D23" w:rsidP="00642E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7D23">
        <w:rPr>
          <w:rFonts w:asciiTheme="majorBidi" w:hAnsiTheme="majorBidi" w:cstheme="majorBidi"/>
          <w:sz w:val="24"/>
          <w:szCs w:val="24"/>
        </w:rPr>
        <w:t>PKD czy profil działalności. Zachęca do tworzenia i oferuje wsparcie w zakresie zasad</w:t>
      </w:r>
    </w:p>
    <w:p w:rsidR="00BB7D23" w:rsidRDefault="00BB7D23" w:rsidP="004E5D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B7D23">
        <w:rPr>
          <w:rFonts w:asciiTheme="majorBidi" w:hAnsiTheme="majorBidi" w:cstheme="majorBidi"/>
          <w:sz w:val="24"/>
          <w:szCs w:val="24"/>
        </w:rPr>
        <w:t>funkcjonowania i działania rad pracowniczych – na poziomie unijnym i poszczególnych krajów</w:t>
      </w:r>
      <w:r w:rsidR="004E5D61">
        <w:rPr>
          <w:rFonts w:asciiTheme="majorBidi" w:hAnsiTheme="majorBidi" w:cstheme="majorBidi"/>
          <w:sz w:val="24"/>
          <w:szCs w:val="24"/>
        </w:rPr>
        <w:t xml:space="preserve"> </w:t>
      </w:r>
      <w:r w:rsidRPr="00BB7D23">
        <w:rPr>
          <w:rFonts w:asciiTheme="majorBidi" w:hAnsiTheme="majorBidi" w:cstheme="majorBidi"/>
          <w:sz w:val="24"/>
          <w:szCs w:val="24"/>
        </w:rPr>
        <w:t>UE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62284" w:rsidRDefault="00D62284" w:rsidP="00D6228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E5D61" w:rsidRPr="00870429" w:rsidRDefault="004E5D61" w:rsidP="004E5D6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70429">
        <w:rPr>
          <w:rFonts w:asciiTheme="majorBidi" w:hAnsiTheme="majorBidi" w:cstheme="majorBidi"/>
          <w:b/>
          <w:bCs/>
          <w:sz w:val="24"/>
          <w:szCs w:val="24"/>
        </w:rPr>
        <w:lastRenderedPageBreak/>
        <w:t>PRIORYTET NR 2</w:t>
      </w:r>
      <w:r w:rsidR="00D62284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62284" w:rsidRPr="00870429" w:rsidRDefault="00D62284" w:rsidP="00642E2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70429">
        <w:rPr>
          <w:rFonts w:asciiTheme="majorBidi" w:hAnsiTheme="majorBidi" w:cstheme="majorBidi"/>
          <w:b/>
          <w:bCs/>
          <w:sz w:val="24"/>
          <w:szCs w:val="24"/>
        </w:rPr>
        <w:t>Wsparcie rozwoju umiejętności i kwalifikacji w zawodach określonych</w:t>
      </w:r>
      <w:r w:rsidR="00642E28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jako deficytowe na danym terenie tj. w powiecie czy województwie</w:t>
      </w:r>
    </w:p>
    <w:p w:rsidR="00BB7D23" w:rsidRPr="00870429" w:rsidRDefault="00BB7D23" w:rsidP="00BB7D2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B7D23" w:rsidRPr="009E5221" w:rsidRDefault="00BB7D23" w:rsidP="004E5D61">
      <w:pPr>
        <w:spacing w:after="84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E522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Przyjęte sformułowanie niniejszego priorytetu pozwala na sfinansowanie kształcenia ustawicznego w zakresie umiejętności </w:t>
      </w:r>
      <w:proofErr w:type="spellStart"/>
      <w:r w:rsidRPr="009E522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ogólno</w:t>
      </w:r>
      <w:proofErr w:type="spellEnd"/>
      <w:r w:rsidR="004E5D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-z</w:t>
      </w:r>
      <w:r w:rsidRPr="009E522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awodowych, o ile powiązane są one </w:t>
      </w:r>
      <w:r w:rsidRPr="009E522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z wykonywaniem pracy w zawodzie deficytowym.  </w:t>
      </w:r>
    </w:p>
    <w:p w:rsidR="00BB7D23" w:rsidRPr="009E5221" w:rsidRDefault="00BB7D23" w:rsidP="009E5221">
      <w:pPr>
        <w:spacing w:after="131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E522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Wnioskodawca, który chce spełnić wymagania priorytetu nr 1 powinien udowodnić, że wskazana forma kształcenia ustawicznego dotyczy zawodu deficytowego </w:t>
      </w:r>
      <w:r w:rsidRPr="009E522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na terenie danego powiatu. Oznacza to zawód zidentyfikowany jako deficytowy </w:t>
      </w:r>
      <w:r w:rsidRPr="009E522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oparciu o wyniki najbardziej aktualnych badań/analiz, takich jak np.: „Barometr zawodów”.</w:t>
      </w:r>
    </w:p>
    <w:p w:rsidR="00BB7D23" w:rsidRDefault="00BB7D23" w:rsidP="009E5221">
      <w:pPr>
        <w:autoSpaceDE w:val="0"/>
        <w:autoSpaceDN w:val="0"/>
        <w:adjustRightInd w:val="0"/>
        <w:spacing w:after="0" w:line="240" w:lineRule="auto"/>
        <w:jc w:val="both"/>
        <w:rPr>
          <w:rFonts w:ascii="Lato-Regular" w:hAnsi="Lato-Regular" w:cs="Lato-Regular"/>
        </w:rPr>
      </w:pPr>
      <w:r w:rsidRPr="009E5221">
        <w:rPr>
          <w:rFonts w:ascii="Times New Roman" w:hAnsi="Times New Roman" w:cs="Times New Roman"/>
          <w:sz w:val="24"/>
          <w:szCs w:val="24"/>
        </w:rPr>
        <w:t>Pracodawca wnioskujący o dofinansowanie kształcenia ustawicznego pracowników zatrudnionych na terenie innego powiatu lub województwa niż siedziba powiatowego urzędu pracy, w którym składany jest wniosek o dofinansowanie, powinien wykazać, że zawód jest deficytowy dla miejsca wykonywania pracy</w:t>
      </w:r>
      <w:r w:rsidRPr="009E5221">
        <w:rPr>
          <w:rFonts w:ascii="Lato-Regular" w:hAnsi="Lato-Regular" w:cs="Lato-Regular"/>
        </w:rPr>
        <w:t>.</w:t>
      </w:r>
    </w:p>
    <w:p w:rsidR="009E5221" w:rsidRPr="009E5221" w:rsidRDefault="009E5221" w:rsidP="009E5221">
      <w:pPr>
        <w:autoSpaceDE w:val="0"/>
        <w:autoSpaceDN w:val="0"/>
        <w:adjustRightInd w:val="0"/>
        <w:spacing w:after="0" w:line="240" w:lineRule="auto"/>
        <w:jc w:val="both"/>
        <w:rPr>
          <w:rFonts w:ascii="Lato-Regular" w:hAnsi="Lato-Regular" w:cs="Lato-Regular"/>
        </w:rPr>
      </w:pPr>
    </w:p>
    <w:p w:rsidR="00BB7D23" w:rsidRPr="009E5221" w:rsidRDefault="00BB7D23" w:rsidP="009E5221">
      <w:pPr>
        <w:spacing w:after="131" w:line="240" w:lineRule="auto"/>
        <w:ind w:right="5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E522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 dofinansowanych form kształcenia ustawicznego w ramach tego priorytetu mogą skorzystać zarówno osoby pracujące w zawodach określonych jako deficytowe jak </w:t>
      </w:r>
      <w:r w:rsidRPr="009E522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  <w:t xml:space="preserve">i osoby zamierzające wykonywać zadania związane z zawodem deficytowym </w:t>
      </w:r>
      <w:r w:rsidRPr="009E522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  <w:t>w przyszłości.</w:t>
      </w:r>
    </w:p>
    <w:p w:rsidR="00BB7D23" w:rsidRPr="009E5221" w:rsidRDefault="00BB7D23" w:rsidP="009E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2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Szczecinku przy ocenie składanych wniosków będzie powoływał się na wyniki zawarte w „Barometrze zawodów” biorąc pod uwagę sytuację z terenu powiatu szczecineckiego (</w:t>
      </w:r>
      <w:hyperlink r:id="rId7" w:history="1">
        <w:r w:rsidRPr="009E5221">
          <w:rPr>
            <w:rStyle w:val="Hipercze"/>
            <w:rFonts w:ascii="Times New Roman" w:hAnsi="Times New Roman" w:cs="Times New Roman"/>
            <w:sz w:val="24"/>
            <w:szCs w:val="24"/>
          </w:rPr>
          <w:t>https://barometrzawodow.pl</w:t>
        </w:r>
      </w:hyperlink>
      <w:r w:rsidRPr="009E5221">
        <w:rPr>
          <w:rFonts w:ascii="Times New Roman" w:hAnsi="Times New Roman" w:cs="Times New Roman"/>
          <w:sz w:val="24"/>
          <w:szCs w:val="24"/>
        </w:rPr>
        <w:t>).</w:t>
      </w:r>
    </w:p>
    <w:p w:rsidR="00BB7D23" w:rsidRDefault="00BB7D23" w:rsidP="00BB7D23">
      <w:pPr>
        <w:spacing w:after="0" w:line="240" w:lineRule="auto"/>
        <w:ind w:left="-425"/>
        <w:rPr>
          <w:rFonts w:asciiTheme="majorBidi" w:hAnsiTheme="majorBidi" w:cstheme="majorBidi"/>
          <w:color w:val="00B050"/>
          <w:sz w:val="24"/>
          <w:szCs w:val="24"/>
        </w:rPr>
      </w:pPr>
    </w:p>
    <w:p w:rsidR="004E5D61" w:rsidRPr="00870429" w:rsidRDefault="007A37D2" w:rsidP="00642E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70429">
        <w:rPr>
          <w:rFonts w:asciiTheme="majorBidi" w:hAnsiTheme="majorBidi" w:cstheme="majorBidi"/>
          <w:b/>
          <w:bCs/>
          <w:sz w:val="24"/>
          <w:szCs w:val="24"/>
        </w:rPr>
        <w:t>PRIORYTET NR 3</w:t>
      </w:r>
    </w:p>
    <w:p w:rsidR="00BB7D23" w:rsidRPr="00870429" w:rsidRDefault="00642E28" w:rsidP="00642E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70429"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BB7D23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sparcie kształcenia ustawicznego w związku z zastosowaniem </w:t>
      </w:r>
      <w:r w:rsidR="007A37D2" w:rsidRPr="00870429">
        <w:rPr>
          <w:rFonts w:asciiTheme="majorBidi" w:hAnsiTheme="majorBidi" w:cstheme="majorBidi"/>
          <w:b/>
          <w:bCs/>
          <w:sz w:val="24"/>
          <w:szCs w:val="24"/>
        </w:rPr>
        <w:br/>
      </w:r>
      <w:r w:rsidR="00BB7D23" w:rsidRPr="00870429"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7A37D2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B7D23" w:rsidRPr="00870429">
        <w:rPr>
          <w:rFonts w:asciiTheme="majorBidi" w:hAnsiTheme="majorBidi" w:cstheme="majorBidi"/>
          <w:b/>
          <w:bCs/>
          <w:sz w:val="24"/>
          <w:szCs w:val="24"/>
        </w:rPr>
        <w:t>firmach nowych procesów, technologii i narzędzi pracy, ze szczególnym</w:t>
      </w:r>
      <w:r w:rsidR="007A37D2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70429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BB7D23" w:rsidRPr="00870429">
        <w:rPr>
          <w:rFonts w:asciiTheme="majorBidi" w:hAnsiTheme="majorBidi" w:cstheme="majorBidi"/>
          <w:b/>
          <w:bCs/>
          <w:sz w:val="24"/>
          <w:szCs w:val="24"/>
        </w:rPr>
        <w:t>względnieniem umiejętności cyfrowych, AI oraz tzw. umiejętności zielonych,</w:t>
      </w:r>
      <w:r w:rsidR="007A37D2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B7D23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zwłaszcza gdy powyższe </w:t>
      </w:r>
      <w:r w:rsidR="007A37D2" w:rsidRPr="008704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BB7D23" w:rsidRPr="00870429">
        <w:rPr>
          <w:rFonts w:asciiTheme="majorBidi" w:hAnsiTheme="majorBidi" w:cstheme="majorBidi"/>
          <w:b/>
          <w:bCs/>
          <w:sz w:val="24"/>
          <w:szCs w:val="24"/>
        </w:rPr>
        <w:t>zynniki s</w:t>
      </w:r>
      <w:r w:rsidR="007A37D2" w:rsidRPr="00870429">
        <w:rPr>
          <w:rFonts w:asciiTheme="majorBidi" w:hAnsiTheme="majorBidi" w:cstheme="majorBidi"/>
          <w:b/>
          <w:bCs/>
          <w:sz w:val="24"/>
          <w:szCs w:val="24"/>
        </w:rPr>
        <w:t>tanowią zagrożenie utratą pracy</w:t>
      </w:r>
      <w:r w:rsidR="007A37D2" w:rsidRPr="00870429">
        <w:rPr>
          <w:rFonts w:asciiTheme="majorBidi" w:hAnsiTheme="majorBidi" w:cstheme="majorBidi"/>
          <w:sz w:val="24"/>
          <w:szCs w:val="24"/>
        </w:rPr>
        <w:t>.</w:t>
      </w:r>
    </w:p>
    <w:p w:rsidR="002B2FA3" w:rsidRDefault="002B2FA3" w:rsidP="007A37D2">
      <w:pPr>
        <w:spacing w:after="0" w:line="240" w:lineRule="auto"/>
        <w:rPr>
          <w:rFonts w:asciiTheme="majorBidi" w:hAnsiTheme="majorBidi" w:cstheme="majorBidi"/>
          <w:color w:val="00B050"/>
          <w:sz w:val="24"/>
          <w:szCs w:val="24"/>
        </w:rPr>
      </w:pPr>
    </w:p>
    <w:p w:rsid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niniejszym priorytecie </w:t>
      </w:r>
      <w:r w:rsidRPr="002B2FA3">
        <w:rPr>
          <w:rFonts w:asciiTheme="majorBidi" w:hAnsiTheme="majorBidi" w:cstheme="majorBidi"/>
          <w:sz w:val="24"/>
          <w:szCs w:val="24"/>
        </w:rPr>
        <w:t>przez „nowe procesy, technologie czy narzędzia pracy” należy rozumieć procesy, technologie, maszyny czy rozwiązania nowe dla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wnioskodawcy a nie dla całego rynku. Przykładowo maszyna istniejąca na rynku od bardzo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wielu lat, ale niewykorzystywana do tej pory w firmie wnioskodawcy, jest w jego przypadku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„nową technologią czy narzędziem pracy”. Pod pojęciem procesów należy rozumieć zaś serię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powiązanych ze sobą działań lub zadań, które rozwiązują problem lub prowadzą do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osiągnięcia określonego efektu. Przykładowymi kategoriami procesów biznesowych są: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proces zarządczy (który kieruje działaniem systemu, np. zarządzanie przedsiębiorstwem lub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zarządzanie strategiczne), proces operacyjny (który dotyczy istoty biznesu i źródła wartości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dodanej, np. zaopatrzenie, produkcja, marketing, sprzedaż), proces pomocniczy (który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wspiera procesy główne,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np.</w:t>
      </w:r>
      <w:r>
        <w:rPr>
          <w:rFonts w:asciiTheme="majorBidi" w:hAnsiTheme="majorBidi" w:cstheme="majorBidi"/>
          <w:sz w:val="24"/>
          <w:szCs w:val="24"/>
        </w:rPr>
        <w:t xml:space="preserve"> k</w:t>
      </w:r>
      <w:r w:rsidRPr="002B2FA3">
        <w:rPr>
          <w:rFonts w:asciiTheme="majorBidi" w:hAnsiTheme="majorBidi" w:cstheme="majorBidi"/>
          <w:sz w:val="24"/>
          <w:szCs w:val="24"/>
        </w:rPr>
        <w:t>sięgowość, rekrutacja, wsparcie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Pr="002B2FA3">
        <w:rPr>
          <w:rFonts w:asciiTheme="majorBidi" w:hAnsiTheme="majorBidi" w:cstheme="majorBidi"/>
          <w:sz w:val="24"/>
          <w:szCs w:val="24"/>
        </w:rPr>
        <w:t>echniczne)</w:t>
      </w:r>
      <w:r>
        <w:rPr>
          <w:rFonts w:asciiTheme="majorBidi" w:hAnsiTheme="majorBidi" w:cstheme="majorBidi"/>
          <w:sz w:val="24"/>
          <w:szCs w:val="24"/>
        </w:rPr>
        <w:t>.</w:t>
      </w:r>
      <w:r w:rsidR="00646DEB"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Należy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przy tym pamiętać, że postęp technologiczny i cyfrowy jest coraz bardziej obecny w życiu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każdego człowieka i będzie skutkować istotnymi zmianami w strukturze zatrudnienia oraz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 xml:space="preserve">popycie na konkretne zawody </w:t>
      </w:r>
      <w:r w:rsidR="00870429">
        <w:rPr>
          <w:rFonts w:asciiTheme="majorBidi" w:hAnsiTheme="majorBidi" w:cstheme="majorBidi"/>
          <w:sz w:val="24"/>
          <w:szCs w:val="24"/>
        </w:rPr>
        <w:br/>
      </w:r>
      <w:r w:rsidRPr="002B2FA3">
        <w:rPr>
          <w:rFonts w:asciiTheme="majorBidi" w:hAnsiTheme="majorBidi" w:cstheme="majorBidi"/>
          <w:sz w:val="24"/>
          <w:szCs w:val="24"/>
        </w:rPr>
        <w:t>i umiejętności. Bardzo ważne jest aby osoby funkcjonujące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na rynku pracy były wyposażone w umiejętności, które nie będą się szybko dezaktualizować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i pozwolą na stały rozwój posiadanego doświadczenia, wiedzy i umiejętności. Z punktu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widzenia pracodawców w perspektywie wieloletniej ważne będzie to, by kadry gospodarki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 xml:space="preserve">dysponowały nowoczesnymi umiejętnościami, potrzebnymi w </w:t>
      </w:r>
      <w:proofErr w:type="spellStart"/>
      <w:r w:rsidRPr="002B2FA3">
        <w:rPr>
          <w:rFonts w:asciiTheme="majorBidi" w:hAnsiTheme="majorBidi" w:cstheme="majorBidi"/>
          <w:sz w:val="24"/>
          <w:szCs w:val="24"/>
        </w:rPr>
        <w:t>scyfryzowanych</w:t>
      </w:r>
      <w:proofErr w:type="spellEnd"/>
      <w:r w:rsidRPr="002B2FA3">
        <w:rPr>
          <w:rFonts w:asciiTheme="majorBidi" w:hAnsiTheme="majorBidi" w:cstheme="majorBidi"/>
          <w:sz w:val="24"/>
          <w:szCs w:val="24"/>
        </w:rPr>
        <w:t xml:space="preserve"> branżach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oraz gospodarce obiegu zamkniętego. Dlatego tak istotne jest nabywanie czy rozwój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kompetencji cyfrowych czy AI. Kompetencje cyfrowe obejmują również zagadnienia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związane z komunikowaniem się, umiejętnościami korzystania z mediów, umiejętnościami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 xml:space="preserve">wyszukiwania i korzystania z różnego </w:t>
      </w:r>
      <w:r w:rsidRPr="002B2FA3">
        <w:rPr>
          <w:rFonts w:asciiTheme="majorBidi" w:hAnsiTheme="majorBidi" w:cstheme="majorBidi"/>
          <w:sz w:val="24"/>
          <w:szCs w:val="24"/>
        </w:rPr>
        <w:lastRenderedPageBreak/>
        <w:t>typu danych w formie elektronicznej czy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B2FA3">
        <w:rPr>
          <w:rFonts w:asciiTheme="majorBidi" w:hAnsiTheme="majorBidi" w:cstheme="majorBidi"/>
          <w:sz w:val="24"/>
          <w:szCs w:val="24"/>
        </w:rPr>
        <w:t>cyberbezpieczeństwem</w:t>
      </w:r>
      <w:proofErr w:type="spellEnd"/>
      <w:r w:rsidRPr="002B2FA3">
        <w:rPr>
          <w:rFonts w:asciiTheme="majorBidi" w:hAnsiTheme="majorBidi" w:cstheme="majorBidi"/>
          <w:sz w:val="24"/>
          <w:szCs w:val="24"/>
        </w:rPr>
        <w:t>. W każdej dziedzinie gospodarki i w większości współczesnych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zawodów kompetencje cyfrowe nabierają kluczowego znaczenia. Dlatego pracodawcy coraz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częściej poszukują takich pracowników, którzy będą rozumieć potrzebę funkcjonowania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w cyfrowym świecie i – przede wszystkim – sprawnie i twórczo posługiwać się narzędziami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nowych technologii a zwłaszcza AI. Ta sama zasada dotyczy tzw. umiejętności zielonych. Są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nimi przede wszystkim wiedza, zdolności, wartości i postawy, które umożliwiają prowadzenie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zrównoważonego, oszczędnego i proekologicznego sposobu życia i pracy. Obejmują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zarówno kompetencje techniczne (np. obsługa technologii odnawialnych, zarządzanie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zasobami, wdrażanie innowacji ekologicznych), jak i miękkie (np. krytyczne myślenie, praca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zespołowa, odpowiedzialność). Są one niezbędne do funkcjonowania w "zielonej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gospodarce", która skupia się na niskoemisyjności, efektywności energetycznej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i odnawialnych źródłach energii.</w:t>
      </w: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Wnioskodawca, który chce spełnić wymagania priorytetu powinien udowodnić, że w ciągu</w:t>
      </w: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jednego roku przed złożeniem wniosku bądź w ciągu trzech miesięcy po jego złożeniu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zostały/zostaną zakupione nowe maszyny i narzędzia, bądź zostały/będą wdrożone nowe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procesy, technologie i systemy, a osoby objęte kształceniem ustawicznym będą wykonywać</w:t>
      </w: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nowe zadania związane z wprowadzonymi/ planowanymi do wprowadzenia zmianami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zwłaszcza związanymi z wykorzystaniem kompetencji cyfrowych czy zastosowaniem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umiejętności zielonych. Należy jednak pamiętać, że wskazane wyżej terminy nie są sztywne.</w:t>
      </w: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Ostateczna decyzja w tej sprawie należy do urzędu pracy i zależy przede wszystkim od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jednostkowej oceny sytuacji (np. termin dostawy sprzętu, dostępne terminy szkolenia).</w:t>
      </w: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Nie przygotowano zamkniętej listy dokumentów, na podstawie których powiatowy urząd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pracy ma zdecydować, czy złożony wniosek wpisuje się w priorytet. Stosowna decyzja 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zostać podjęta na podstawie jakiegokolwiek wiarygodnego dla urzędu dokumentu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2FA3">
        <w:rPr>
          <w:rFonts w:asciiTheme="majorBidi" w:hAnsiTheme="majorBidi" w:cstheme="majorBidi"/>
          <w:sz w:val="24"/>
          <w:szCs w:val="24"/>
        </w:rPr>
        <w:t>dostarczonego przez wnioskodawcę, np. kopii dokumentów zakupu, decyzji dyrektora/zarządu o wprowadzeniu norm ISO, itp., oraz logicznego i wiarygodnego uzasadnienia.</w:t>
      </w: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Wsparciem kształcenia ustawicznego w ramach priorytetu można objąć jedynie osobę, która</w:t>
      </w: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w ramach wykonywania swoich zadań zawodowych/ na stanowisku pracy korzysta lub</w:t>
      </w:r>
    </w:p>
    <w:p w:rsidR="002B2FA3" w:rsidRP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będzie korzystała z nowych technologii i narzędzi pracy lub która wymaga nabycia nowych</w:t>
      </w:r>
    </w:p>
    <w:p w:rsid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FA3">
        <w:rPr>
          <w:rFonts w:asciiTheme="majorBidi" w:hAnsiTheme="majorBidi" w:cstheme="majorBidi"/>
          <w:sz w:val="24"/>
          <w:szCs w:val="24"/>
        </w:rPr>
        <w:t>kompetencji niezbędnych do wykonywania pracy w związku z wdrożeniem nowego procesu.</w:t>
      </w:r>
    </w:p>
    <w:p w:rsidR="002B2FA3" w:rsidRDefault="002B2FA3" w:rsidP="002B2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E5D61" w:rsidRPr="00870429" w:rsidRDefault="002B2FA3" w:rsidP="004E5D6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70429">
        <w:rPr>
          <w:rFonts w:asciiTheme="majorBidi" w:hAnsiTheme="majorBidi" w:cstheme="majorBidi"/>
          <w:b/>
          <w:bCs/>
          <w:sz w:val="24"/>
          <w:szCs w:val="24"/>
        </w:rPr>
        <w:t>PRIORYTET NR 4</w:t>
      </w:r>
    </w:p>
    <w:p w:rsidR="002B2FA3" w:rsidRPr="00870429" w:rsidRDefault="00642E28" w:rsidP="004E5D6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70429">
        <w:rPr>
          <w:b/>
          <w:bCs/>
        </w:rPr>
        <w:t>W</w:t>
      </w:r>
      <w:r w:rsidR="002B2FA3" w:rsidRPr="00870429">
        <w:rPr>
          <w:rFonts w:asciiTheme="majorBidi" w:hAnsiTheme="majorBidi" w:cstheme="majorBidi"/>
          <w:b/>
          <w:bCs/>
          <w:sz w:val="24"/>
          <w:szCs w:val="24"/>
        </w:rPr>
        <w:t>sparcie rozwoju umiejętności i kwalifikacji niezbędnych w sektorze</w:t>
      </w:r>
      <w:r w:rsidR="004E5D61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2FA3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usług zdrowotnych i opiekuńczych oraz wsparcie rozwoju umiejętności i kwalifikacji członków lub pracowników spółdzielni socjalnych oraz pracowników zatrudnionych </w:t>
      </w:r>
      <w:r w:rsidR="00EE5EF0" w:rsidRPr="00870429">
        <w:rPr>
          <w:rFonts w:asciiTheme="majorBidi" w:hAnsiTheme="majorBidi" w:cstheme="majorBidi"/>
          <w:b/>
          <w:bCs/>
          <w:sz w:val="24"/>
          <w:szCs w:val="24"/>
        </w:rPr>
        <w:br/>
      </w:r>
      <w:r w:rsidR="002B2FA3" w:rsidRPr="00870429"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EE5EF0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2FA3" w:rsidRPr="00870429">
        <w:rPr>
          <w:rFonts w:asciiTheme="majorBidi" w:hAnsiTheme="majorBidi" w:cstheme="majorBidi"/>
          <w:b/>
          <w:bCs/>
          <w:sz w:val="24"/>
          <w:szCs w:val="24"/>
        </w:rPr>
        <w:t>przedsiębiorstwach społecznych wskazanych na liście/rejestrze przedsiębiorstw</w:t>
      </w:r>
      <w:r w:rsidR="00EE5EF0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2FA3" w:rsidRPr="00870429">
        <w:rPr>
          <w:rFonts w:asciiTheme="majorBidi" w:hAnsiTheme="majorBidi" w:cstheme="majorBidi"/>
          <w:b/>
          <w:bCs/>
          <w:sz w:val="24"/>
          <w:szCs w:val="24"/>
        </w:rPr>
        <w:t xml:space="preserve">społecznych prowadzonym przez </w:t>
      </w:r>
      <w:proofErr w:type="spellStart"/>
      <w:r w:rsidR="002B2FA3" w:rsidRPr="00870429">
        <w:rPr>
          <w:rFonts w:asciiTheme="majorBidi" w:hAnsiTheme="majorBidi" w:cstheme="majorBidi"/>
          <w:b/>
          <w:bCs/>
          <w:sz w:val="24"/>
          <w:szCs w:val="24"/>
        </w:rPr>
        <w:t>MRPiPS</w:t>
      </w:r>
      <w:proofErr w:type="spellEnd"/>
      <w:r w:rsidR="00BF3782" w:rsidRPr="008704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BF3782" w:rsidRDefault="00BF3782" w:rsidP="00EE5EF0">
      <w:pPr>
        <w:spacing w:after="0" w:line="240" w:lineRule="auto"/>
        <w:jc w:val="both"/>
        <w:rPr>
          <w:rFonts w:asciiTheme="majorBidi" w:hAnsiTheme="majorBidi" w:cstheme="majorBidi"/>
          <w:color w:val="00B050"/>
          <w:sz w:val="24"/>
          <w:szCs w:val="24"/>
        </w:rPr>
      </w:pPr>
    </w:p>
    <w:p w:rsidR="00BF3782" w:rsidRPr="00BF3782" w:rsidRDefault="00BF3782" w:rsidP="00BF37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Priorytet niniejszy składa się z dwóch odrębnych elementów adresowanych do odrębnych</w:t>
      </w:r>
    </w:p>
    <w:p w:rsidR="00BF3782" w:rsidRPr="00BF3782" w:rsidRDefault="00BF3782" w:rsidP="00BF37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odbiorców.</w:t>
      </w:r>
    </w:p>
    <w:p w:rsidR="00BF3782" w:rsidRP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 xml:space="preserve">Pierwsza część adresowana jest do podmiotów działających w sektorze usług zdrowotnych </w:t>
      </w:r>
      <w:r>
        <w:rPr>
          <w:rFonts w:asciiTheme="majorBidi" w:hAnsiTheme="majorBidi" w:cstheme="majorBidi"/>
          <w:sz w:val="24"/>
          <w:szCs w:val="24"/>
        </w:rPr>
        <w:br/>
      </w:r>
      <w:r w:rsidRPr="00BF3782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opiekuńczych. Zgodnie z ustawą z dnia 15 kwietnia 2011 r. o działalności leczniczej (</w:t>
      </w:r>
      <w:proofErr w:type="spellStart"/>
      <w:r w:rsidRPr="00BF3782">
        <w:rPr>
          <w:rFonts w:asciiTheme="majorBidi" w:hAnsiTheme="majorBidi" w:cstheme="majorBidi"/>
          <w:sz w:val="24"/>
          <w:szCs w:val="24"/>
        </w:rPr>
        <w:t>t.j</w:t>
      </w:r>
      <w:proofErr w:type="spellEnd"/>
      <w:r w:rsidRPr="00BF3782">
        <w:rPr>
          <w:rFonts w:asciiTheme="majorBidi" w:hAnsiTheme="majorBidi" w:cstheme="majorBidi"/>
          <w:sz w:val="24"/>
          <w:szCs w:val="24"/>
        </w:rPr>
        <w:t>. Dz. U.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z 2024 r. poz. 799) świadczeniami zdrowotnymi są działania służące zachowaniu, ratowaniu,</w:t>
      </w:r>
    </w:p>
    <w:p w:rsidR="00BF3782" w:rsidRP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przywracaniu lub poprawie zdrowia oraz inne działania medyczne wynikające z procesu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leczenia. Udzielanie świadczeń zdrowotnych odbywa się w ramach działalności leczniczej.</w:t>
      </w:r>
    </w:p>
    <w:p w:rsidR="00BF3782" w:rsidRP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 xml:space="preserve">Ustawodawca wyodrębnił przy tym jej dwa rodzaje – polegającą na: stacjonarnym </w:t>
      </w:r>
      <w:r>
        <w:rPr>
          <w:rFonts w:asciiTheme="majorBidi" w:hAnsiTheme="majorBidi" w:cstheme="majorBidi"/>
          <w:sz w:val="24"/>
          <w:szCs w:val="24"/>
        </w:rPr>
        <w:br/>
      </w:r>
      <w:r w:rsidRPr="00BF3782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całodobowym udzielaniu świadczeń zdrowotnych oraz ambulatoryjnym udzielaniu świadczeń</w:t>
      </w:r>
    </w:p>
    <w:p w:rsid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zdrowotnych – czyli w warunkach niewymagających udzielania świadczeń w trybie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stacjonarnym i całodobowym.</w:t>
      </w:r>
    </w:p>
    <w:p w:rsidR="00BF3782" w:rsidRP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F3782" w:rsidRDefault="00BF3782" w:rsidP="0087042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lastRenderedPageBreak/>
        <w:t>Warunkiem skorzystania 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dostępnych środków jest oświadczenie wnioskodawcy o konieczności odbycia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 xml:space="preserve">wnioskowanego szkolenia lub nabycia określonych umiejętności </w:t>
      </w:r>
      <w:r w:rsidR="00870429">
        <w:rPr>
          <w:rFonts w:asciiTheme="majorBidi" w:hAnsiTheme="majorBidi" w:cstheme="majorBidi"/>
          <w:sz w:val="24"/>
          <w:szCs w:val="24"/>
        </w:rPr>
        <w:br/>
      </w:r>
      <w:r w:rsidRPr="00BF3782">
        <w:rPr>
          <w:rFonts w:asciiTheme="majorBidi" w:hAnsiTheme="majorBidi" w:cstheme="majorBidi"/>
          <w:sz w:val="24"/>
          <w:szCs w:val="24"/>
        </w:rPr>
        <w:t>z zakresu usług zdrowotnych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i opiekuńczych. Dostęp do priorytetu ma każdy pracodawca bądź prowadzący jednoosobową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 xml:space="preserve">działalność gospodarczą posiadający </w:t>
      </w:r>
      <w:r w:rsidRPr="00BF3782">
        <w:rPr>
          <w:rFonts w:asciiTheme="majorBidi" w:hAnsiTheme="majorBidi" w:cstheme="majorBidi"/>
          <w:b/>
          <w:bCs/>
          <w:sz w:val="24"/>
          <w:szCs w:val="24"/>
        </w:rPr>
        <w:t xml:space="preserve">PKD w Sekcji Q tj. Opieka zdrowotna i pomoc społeczna w działach 86 – Opieka zdrowotna, 87- Pomoc społeczna </w:t>
      </w:r>
      <w:r w:rsidR="00870429">
        <w:rPr>
          <w:rFonts w:asciiTheme="majorBidi" w:hAnsiTheme="majorBidi" w:cstheme="majorBidi"/>
          <w:b/>
          <w:bCs/>
          <w:sz w:val="24"/>
          <w:szCs w:val="24"/>
        </w:rPr>
        <w:br/>
      </w:r>
      <w:r w:rsidRPr="00BF3782">
        <w:rPr>
          <w:rFonts w:asciiTheme="majorBidi" w:hAnsiTheme="majorBidi" w:cstheme="majorBidi"/>
          <w:b/>
          <w:bCs/>
          <w:sz w:val="24"/>
          <w:szCs w:val="24"/>
        </w:rPr>
        <w:t>z zakwaterowaniem, 88 – Pomoc społeczna bez zakwaterowania.</w:t>
      </w:r>
      <w:r w:rsidRPr="00BF3782">
        <w:rPr>
          <w:rFonts w:asciiTheme="majorBidi" w:hAnsiTheme="majorBidi" w:cstheme="majorBidi"/>
          <w:sz w:val="24"/>
          <w:szCs w:val="24"/>
        </w:rPr>
        <w:t xml:space="preserve"> W ramach tego priorytetu można dofinansować dopuszczalne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ustawą formy kształcenia ustawicznego bezpośrednio związane z szeroko pojętą opieką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zdrowotną czy opieką społeczną. Należy jednak pamiętać, że w ramach KFS nie można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finansować tych samych szkoleń, na które przeznaczone są inne środki publiczne np. środki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na specjalizacje pielęgniarek i położnych.</w:t>
      </w:r>
    </w:p>
    <w:p w:rsidR="00BF3782" w:rsidRPr="00BF3782" w:rsidRDefault="00BF3782" w:rsidP="0087042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F3782" w:rsidRP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Podmiotami uprawnionymi do korzystania z środków w ramach drugiej części niniejszego</w:t>
      </w:r>
    </w:p>
    <w:p w:rsidR="00BF3782" w:rsidRP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priorytetu są:</w:t>
      </w:r>
    </w:p>
    <w:p w:rsidR="00BF3782" w:rsidRPr="004E5D61" w:rsidRDefault="00BF3782" w:rsidP="00B1567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b/>
          <w:bCs/>
          <w:sz w:val="24"/>
          <w:szCs w:val="24"/>
        </w:rPr>
        <w:t>Przedsiębiorstwa społeczne</w:t>
      </w:r>
      <w:r w:rsidRPr="004E5D61">
        <w:rPr>
          <w:rFonts w:asciiTheme="majorBidi" w:hAnsiTheme="majorBidi" w:cstheme="majorBidi"/>
          <w:sz w:val="24"/>
          <w:szCs w:val="24"/>
        </w:rPr>
        <w:t xml:space="preserve"> wpisane do wykazu przedsiębiorstw społecznych, który zgodnie z ustawą o ekonomii społecznej prowadzony jest przez </w:t>
      </w:r>
      <w:proofErr w:type="spellStart"/>
      <w:r w:rsidRPr="004E5D61">
        <w:rPr>
          <w:rFonts w:asciiTheme="majorBidi" w:hAnsiTheme="majorBidi" w:cstheme="majorBidi"/>
          <w:sz w:val="24"/>
          <w:szCs w:val="24"/>
        </w:rPr>
        <w:t>MRPiPS</w:t>
      </w:r>
      <w:proofErr w:type="spellEnd"/>
      <w:r w:rsidRPr="004E5D61">
        <w:rPr>
          <w:rFonts w:asciiTheme="majorBidi" w:hAnsiTheme="majorBidi" w:cstheme="majorBidi"/>
          <w:sz w:val="24"/>
          <w:szCs w:val="24"/>
        </w:rPr>
        <w:t xml:space="preserve"> w systemie Rejestr Jednostek Pomocy Społecznej (RJPS), pod adresem https://rjps.mpips.gov.pl/RJPS/RU/start.do?id_menu=59. Status przedsiębiorstwa społecznego mogą uzyskać m.in. organizacje pozarządowe (np. fundacje i stowarzyszenia), spółki non-profit, spółdzielnie socjalne, a także kościelne osoby prawne.</w:t>
      </w:r>
    </w:p>
    <w:p w:rsidR="00BF3782" w:rsidRPr="004E5D61" w:rsidRDefault="00BF3782" w:rsidP="004E5D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b/>
          <w:bCs/>
          <w:sz w:val="24"/>
          <w:szCs w:val="24"/>
        </w:rPr>
        <w:t>Spółdzielnie socjalne</w:t>
      </w:r>
      <w:r w:rsidRPr="004E5D61">
        <w:rPr>
          <w:rFonts w:asciiTheme="majorBidi" w:hAnsiTheme="majorBidi" w:cstheme="majorBidi"/>
          <w:sz w:val="24"/>
          <w:szCs w:val="24"/>
        </w:rPr>
        <w:t xml:space="preserve"> – to podmioty wpisane do Krajowego Rejestru Sądowego, na tej podstawie można zweryfikować ich formę prawną. Spółdzielnie socjalne mogą uzyskać status przedsiębiorstwa społecznego. W takiej sytuacji ich uprawnienia do skorzystania ze wsparcia w ramach tego priorytetu można potwierdzić na podstawie listy przedsiębiorstw społecznych, o której mowa powyżej. Bez względu na to, czy spółdzielnia socjalna posiada status przedsiębiorstwa społecznego, jest ona uprawniona do skorzystania ze środków w ramach tego priorytetu.</w:t>
      </w:r>
    </w:p>
    <w:p w:rsidR="00BF3782" w:rsidRPr="00BF3782" w:rsidRDefault="00BF3782" w:rsidP="00B156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Ze środków w ramach tej części priorytetu korzystać mogą wszyscy pracownicy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przedsiębiorstw społecznych oraz pracownicy i członkowie spółdzielni socjalnych. Dopuszczalne są wszystkie formy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3782">
        <w:rPr>
          <w:rFonts w:asciiTheme="majorBidi" w:hAnsiTheme="majorBidi" w:cstheme="majorBidi"/>
          <w:sz w:val="24"/>
          <w:szCs w:val="24"/>
        </w:rPr>
        <w:t>kształcenia ustawicznego. Nie ma również znaczenia tematyka wnioskowanego szkolenia.</w:t>
      </w:r>
    </w:p>
    <w:p w:rsidR="00BF3782" w:rsidRP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Należy jedynie uzasadnić, że wnioskowana forma kształcenia ustawicznego niezbędna jest</w:t>
      </w:r>
    </w:p>
    <w:p w:rsid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3782">
        <w:rPr>
          <w:rFonts w:asciiTheme="majorBidi" w:hAnsiTheme="majorBidi" w:cstheme="majorBidi"/>
          <w:sz w:val="24"/>
          <w:szCs w:val="24"/>
        </w:rPr>
        <w:t>przy wykonywaniu obowiązków służbowych.</w:t>
      </w:r>
    </w:p>
    <w:p w:rsidR="00BF3782" w:rsidRDefault="00BF3782" w:rsidP="00BF3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95218" w:rsidRPr="00195218" w:rsidRDefault="00195218" w:rsidP="00195218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pl-PL"/>
        </w:rPr>
      </w:pPr>
      <w:r w:rsidRPr="00195218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pl-PL"/>
        </w:rPr>
        <w:t>Wojewódzki priorytet wydatkowania środków Krajowego Funduszu Szkoleniowego na 2026 rok.</w:t>
      </w:r>
    </w:p>
    <w:p w:rsidR="00195218" w:rsidRPr="00870429" w:rsidRDefault="00195218" w:rsidP="0019521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70429">
        <w:rPr>
          <w:rFonts w:asciiTheme="majorBidi" w:hAnsiTheme="majorBidi" w:cstheme="majorBidi"/>
          <w:b/>
          <w:bCs/>
          <w:sz w:val="24"/>
          <w:szCs w:val="24"/>
        </w:rPr>
        <w:t>Wsparcie umiejętności i kwalifikacji zawodowych związanych z transformacją energetyczną, zwłaszcza w zakładach zagrożonych utratą miejsc pracy w województwie zachodniopomorskim.</w:t>
      </w:r>
    </w:p>
    <w:p w:rsidR="00195218" w:rsidRPr="00642E28" w:rsidRDefault="00195218" w:rsidP="00195218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</w:p>
    <w:p w:rsidR="00195218" w:rsidRDefault="00195218" w:rsidP="0019521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5218">
        <w:rPr>
          <w:rFonts w:asciiTheme="majorBidi" w:hAnsiTheme="majorBidi" w:cstheme="majorBidi"/>
          <w:sz w:val="24"/>
          <w:szCs w:val="24"/>
        </w:rPr>
        <w:t>Celem priorytetu jest zapobieganie utracie miejsc w województwie zachodniopomorskim</w:t>
      </w:r>
      <w:r>
        <w:rPr>
          <w:rFonts w:asciiTheme="majorBidi" w:hAnsiTheme="majorBidi" w:cstheme="majorBidi"/>
          <w:sz w:val="24"/>
          <w:szCs w:val="24"/>
        </w:rPr>
        <w:t xml:space="preserve"> poprzez</w:t>
      </w:r>
      <w:r w:rsidR="00AB3BE5">
        <w:rPr>
          <w:rFonts w:asciiTheme="majorBidi" w:hAnsiTheme="majorBidi" w:cstheme="majorBidi"/>
          <w:sz w:val="24"/>
          <w:szCs w:val="24"/>
        </w:rPr>
        <w:t xml:space="preserve"> aktywne dostosowanie kompetencji i kwalifikacji pracowników do nowej rzeczywistości transformacji energetycznej oraz ułatwienie pracownikom przejścia do nowych bardziej przyszłościowych zawodów w ramach zielonej transformacji energetycznej.</w:t>
      </w:r>
    </w:p>
    <w:p w:rsidR="00AB3BE5" w:rsidRDefault="00AB3BE5" w:rsidP="0019521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B3BE5" w:rsidRDefault="00AB3BE5" w:rsidP="00AB3B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Priorytet skierowany jest do pracowników  zatrudnionych w zakładach i sektorach szczególnie narażonych na negatywne skutki transformacji energetycznej, czyli tam, gdzie istnieje realne ryzyko likwidacji/ znacznego ograniczenia działalności z powodu odchodzenia od węgla, zaostrzenia norm emisyjnych, wzrostu cen uprawnień do emisji CO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>itp.</w:t>
      </w:r>
    </w:p>
    <w:p w:rsidR="00AB3BE5" w:rsidRDefault="00AB3BE5" w:rsidP="00AB3B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B3BE5" w:rsidRDefault="00AB3BE5" w:rsidP="00AB3B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Branże w szczególności brane pod uwagę to m.in.:</w:t>
      </w:r>
    </w:p>
    <w:p w:rsidR="00CB1BF5" w:rsidRPr="004E5D61" w:rsidRDefault="00CB1BF5" w:rsidP="004E5D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zakłady związane z węglem np. firmy obsługujące energetykę węglową, kopalnie, elektrownie węglowe itp.);</w:t>
      </w:r>
    </w:p>
    <w:p w:rsidR="00CB1BF5" w:rsidRPr="004E5D61" w:rsidRDefault="00CB1BF5" w:rsidP="004E5D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 xml:space="preserve">przedsiębiorstwa portowe, stoczniowe, logistyczne i transportowe, które muszą się przestawić na obsługę </w:t>
      </w:r>
      <w:proofErr w:type="spellStart"/>
      <w:r w:rsidRPr="004E5D61">
        <w:rPr>
          <w:rFonts w:asciiTheme="majorBidi" w:hAnsiTheme="majorBidi" w:cstheme="majorBidi"/>
          <w:sz w:val="24"/>
          <w:szCs w:val="24"/>
        </w:rPr>
        <w:t>offshore</w:t>
      </w:r>
      <w:proofErr w:type="spellEnd"/>
      <w:r w:rsidRPr="004E5D61">
        <w:rPr>
          <w:rFonts w:asciiTheme="majorBidi" w:hAnsiTheme="majorBidi" w:cstheme="majorBidi"/>
          <w:sz w:val="24"/>
          <w:szCs w:val="24"/>
        </w:rPr>
        <w:t xml:space="preserve"> wind, terminali LNG, wodoru, statków zeroemisyjnych itp.;</w:t>
      </w:r>
    </w:p>
    <w:p w:rsidR="00CB1BF5" w:rsidRPr="004E5D61" w:rsidRDefault="00CB1BF5" w:rsidP="004E5D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firmy z sektora tradycyjnej energetyki konwencjonalnej;</w:t>
      </w:r>
    </w:p>
    <w:p w:rsidR="00CB1BF5" w:rsidRPr="004E5D61" w:rsidRDefault="00A10AE8" w:rsidP="004E5D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firmy wykonawcze, serwisowe i podwykonawcy pracujące przy energetyce konwencjonalnej, którzy tracą zlecenia;</w:t>
      </w:r>
    </w:p>
    <w:p w:rsidR="00A10AE8" w:rsidRPr="004E5D61" w:rsidRDefault="00A10AE8" w:rsidP="004E5D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zakłady przemysłowe o wysokim zużyciu energii, które musza przep</w:t>
      </w:r>
      <w:r w:rsidR="00E9691D" w:rsidRPr="004E5D61">
        <w:rPr>
          <w:rFonts w:asciiTheme="majorBidi" w:hAnsiTheme="majorBidi" w:cstheme="majorBidi"/>
          <w:sz w:val="24"/>
          <w:szCs w:val="24"/>
        </w:rPr>
        <w:t>rowadzić głęboką dekarbonizację procesów.</w:t>
      </w:r>
    </w:p>
    <w:p w:rsidR="00E9691D" w:rsidRDefault="00E9691D" w:rsidP="002C1A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 ramach priorytetu w szczególności</w:t>
      </w:r>
      <w:r w:rsidR="002C1A7F">
        <w:rPr>
          <w:rFonts w:asciiTheme="majorBidi" w:hAnsiTheme="majorBidi" w:cstheme="majorBidi"/>
          <w:sz w:val="24"/>
          <w:szCs w:val="24"/>
        </w:rPr>
        <w:t xml:space="preserve"> może być finansowane kształcenie które pomagają pracownikom m.in.:</w:t>
      </w:r>
    </w:p>
    <w:p w:rsidR="002C1A7F" w:rsidRPr="004E5D61" w:rsidRDefault="002C1A7F" w:rsidP="004E5D6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zdobyć</w:t>
      </w:r>
      <w:r w:rsidR="00C84AD6" w:rsidRPr="004E5D61">
        <w:rPr>
          <w:rFonts w:asciiTheme="majorBidi" w:hAnsiTheme="majorBidi" w:cstheme="majorBidi"/>
          <w:sz w:val="24"/>
          <w:szCs w:val="24"/>
        </w:rPr>
        <w:t xml:space="preserve"> kwalifikacje związane z OZE (</w:t>
      </w:r>
      <w:proofErr w:type="spellStart"/>
      <w:r w:rsidR="00C84AD6" w:rsidRPr="004E5D61">
        <w:rPr>
          <w:rFonts w:asciiTheme="majorBidi" w:hAnsiTheme="majorBidi" w:cstheme="majorBidi"/>
          <w:sz w:val="24"/>
          <w:szCs w:val="24"/>
        </w:rPr>
        <w:t>fotowoltaika</w:t>
      </w:r>
      <w:proofErr w:type="spellEnd"/>
      <w:r w:rsidR="00C84AD6" w:rsidRPr="004E5D61">
        <w:rPr>
          <w:rFonts w:asciiTheme="majorBidi" w:hAnsiTheme="majorBidi" w:cstheme="majorBidi"/>
          <w:sz w:val="24"/>
          <w:szCs w:val="24"/>
        </w:rPr>
        <w:t xml:space="preserve">, wiatraki </w:t>
      </w:r>
      <w:proofErr w:type="spellStart"/>
      <w:r w:rsidR="00C84AD6" w:rsidRPr="004E5D61">
        <w:rPr>
          <w:rFonts w:asciiTheme="majorBidi" w:hAnsiTheme="majorBidi" w:cstheme="majorBidi"/>
          <w:sz w:val="24"/>
          <w:szCs w:val="24"/>
        </w:rPr>
        <w:t>onshore</w:t>
      </w:r>
      <w:proofErr w:type="spellEnd"/>
      <w:r w:rsidR="00C84AD6" w:rsidRPr="004E5D61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="00C84AD6" w:rsidRPr="004E5D61">
        <w:rPr>
          <w:rFonts w:asciiTheme="majorBidi" w:hAnsiTheme="majorBidi" w:cstheme="majorBidi"/>
          <w:sz w:val="24"/>
          <w:szCs w:val="24"/>
        </w:rPr>
        <w:t>offshore</w:t>
      </w:r>
      <w:proofErr w:type="spellEnd"/>
      <w:r w:rsidR="00C84AD6" w:rsidRPr="004E5D61">
        <w:rPr>
          <w:rFonts w:asciiTheme="majorBidi" w:hAnsiTheme="majorBidi" w:cstheme="majorBidi"/>
          <w:sz w:val="24"/>
          <w:szCs w:val="24"/>
        </w:rPr>
        <w:t>, pompy ciepła, biogaz, wodór zielony, itp.),</w:t>
      </w:r>
    </w:p>
    <w:p w:rsidR="00C84AD6" w:rsidRPr="004E5D61" w:rsidRDefault="00C84AD6" w:rsidP="004E5D6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nauczyć się obsługi magazynów energii, systemów hybrydowych, inteligentnych sieci,</w:t>
      </w:r>
    </w:p>
    <w:p w:rsidR="00C84AD6" w:rsidRPr="004E5D61" w:rsidRDefault="00C84AD6" w:rsidP="004E5D6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przejść do obszarów efektywności energetycznej, audytów, termomodernizacji, kogeneracji,</w:t>
      </w:r>
    </w:p>
    <w:p w:rsidR="00C84AD6" w:rsidRPr="004E5D61" w:rsidRDefault="00C84AD6" w:rsidP="004E5D6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uzyskać uprawnienia (np. SEP, UDT&lt; G1-G#, instalacje OZE, pomp ciepła),</w:t>
      </w:r>
    </w:p>
    <w:p w:rsidR="00C84AD6" w:rsidRPr="004E5D61" w:rsidRDefault="00C84AD6" w:rsidP="004E5D6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nauczyć się nowych technologii (wodór, CCUS, ciepłownictwo, sieci niskotemperaturowe),</w:t>
      </w:r>
    </w:p>
    <w:p w:rsidR="00C84AD6" w:rsidRPr="004E5D61" w:rsidRDefault="00C84AD6" w:rsidP="004E5D6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5D61">
        <w:rPr>
          <w:rFonts w:asciiTheme="majorBidi" w:hAnsiTheme="majorBidi" w:cstheme="majorBidi"/>
          <w:sz w:val="24"/>
          <w:szCs w:val="24"/>
        </w:rPr>
        <w:t>rozwinąć kompetencje zielone/cyfrowe w kontekście energetyki.</w:t>
      </w:r>
    </w:p>
    <w:p w:rsidR="00C84AD6" w:rsidRDefault="00C84AD6" w:rsidP="002C1A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4AD6" w:rsidRPr="00AB3BE5" w:rsidRDefault="00C84AD6" w:rsidP="002C1A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Priorytet jest skierowany przede wszystkim do zakładów zagrożonych utratą miejsc pracy </w:t>
      </w:r>
      <w:r w:rsidR="00870429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>w województwie zachodniopomorskim, ale nie wyklucza dofinansowania szkoleń wszystkich podmiotów definiowanych jako pracodawcy w województwie zachodniopomorskim związanych z transformacją energetyczną</w:t>
      </w:r>
      <w:r w:rsidR="00F21A35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sectPr w:rsidR="00C84AD6" w:rsidRPr="00AB3BE5" w:rsidSect="004E5D61">
      <w:headerReference w:type="default" r:id="rId8"/>
      <w:footerReference w:type="default" r:id="rId9"/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BF" w:rsidRDefault="007D41BF" w:rsidP="00B526DC">
      <w:pPr>
        <w:spacing w:after="0" w:line="240" w:lineRule="auto"/>
      </w:pPr>
      <w:r>
        <w:separator/>
      </w:r>
    </w:p>
  </w:endnote>
  <w:endnote w:type="continuationSeparator" w:id="0">
    <w:p w:rsidR="007D41BF" w:rsidRDefault="007D41BF" w:rsidP="00B5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6744"/>
      <w:docPartObj>
        <w:docPartGallery w:val="Page Numbers (Bottom of Page)"/>
        <w:docPartUnique/>
      </w:docPartObj>
    </w:sdtPr>
    <w:sdtEndPr/>
    <w:sdtContent>
      <w:p w:rsidR="00AB3BE5" w:rsidRDefault="00AB3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A35">
          <w:rPr>
            <w:noProof/>
          </w:rPr>
          <w:t>2</w:t>
        </w:r>
        <w:r>
          <w:fldChar w:fldCharType="end"/>
        </w:r>
      </w:p>
    </w:sdtContent>
  </w:sdt>
  <w:p w:rsidR="00AB3BE5" w:rsidRDefault="00AB3B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BF" w:rsidRDefault="007D41BF" w:rsidP="00B526DC">
      <w:pPr>
        <w:spacing w:after="0" w:line="240" w:lineRule="auto"/>
      </w:pPr>
      <w:r>
        <w:separator/>
      </w:r>
    </w:p>
  </w:footnote>
  <w:footnote w:type="continuationSeparator" w:id="0">
    <w:p w:rsidR="007D41BF" w:rsidRDefault="007D41BF" w:rsidP="00B5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E5" w:rsidRDefault="00AB3BE5" w:rsidP="00B526D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D9F"/>
    <w:multiLevelType w:val="hybridMultilevel"/>
    <w:tmpl w:val="CB5646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9208C"/>
    <w:multiLevelType w:val="hybridMultilevel"/>
    <w:tmpl w:val="5C6E60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0F08"/>
    <w:multiLevelType w:val="hybridMultilevel"/>
    <w:tmpl w:val="4C6C59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13506"/>
    <w:multiLevelType w:val="hybridMultilevel"/>
    <w:tmpl w:val="EBC232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478A"/>
    <w:multiLevelType w:val="hybridMultilevel"/>
    <w:tmpl w:val="9ED620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C67384"/>
    <w:multiLevelType w:val="hybridMultilevel"/>
    <w:tmpl w:val="045A2EF6"/>
    <w:lvl w:ilvl="0" w:tplc="47B0B2F6">
      <w:start w:val="1"/>
      <w:numFmt w:val="decimal"/>
      <w:lvlText w:val="%1."/>
      <w:lvlJc w:val="left"/>
      <w:pPr>
        <w:ind w:left="1148" w:hanging="360"/>
      </w:pPr>
    </w:lvl>
    <w:lvl w:ilvl="1" w:tplc="04150019">
      <w:start w:val="1"/>
      <w:numFmt w:val="lowerLetter"/>
      <w:lvlText w:val="%2."/>
      <w:lvlJc w:val="left"/>
      <w:pPr>
        <w:ind w:left="1868" w:hanging="360"/>
      </w:pPr>
    </w:lvl>
    <w:lvl w:ilvl="2" w:tplc="0415001B">
      <w:start w:val="1"/>
      <w:numFmt w:val="lowerRoman"/>
      <w:lvlText w:val="%3."/>
      <w:lvlJc w:val="right"/>
      <w:pPr>
        <w:ind w:left="2588" w:hanging="180"/>
      </w:pPr>
    </w:lvl>
    <w:lvl w:ilvl="3" w:tplc="0415000F">
      <w:start w:val="1"/>
      <w:numFmt w:val="decimal"/>
      <w:lvlText w:val="%4."/>
      <w:lvlJc w:val="left"/>
      <w:pPr>
        <w:ind w:left="3308" w:hanging="360"/>
      </w:pPr>
    </w:lvl>
    <w:lvl w:ilvl="4" w:tplc="04150019">
      <w:start w:val="1"/>
      <w:numFmt w:val="lowerLetter"/>
      <w:lvlText w:val="%5."/>
      <w:lvlJc w:val="left"/>
      <w:pPr>
        <w:ind w:left="4028" w:hanging="360"/>
      </w:pPr>
    </w:lvl>
    <w:lvl w:ilvl="5" w:tplc="0415001B">
      <w:start w:val="1"/>
      <w:numFmt w:val="lowerRoman"/>
      <w:lvlText w:val="%6."/>
      <w:lvlJc w:val="right"/>
      <w:pPr>
        <w:ind w:left="4748" w:hanging="180"/>
      </w:pPr>
    </w:lvl>
    <w:lvl w:ilvl="6" w:tplc="0415000F">
      <w:start w:val="1"/>
      <w:numFmt w:val="decimal"/>
      <w:lvlText w:val="%7."/>
      <w:lvlJc w:val="left"/>
      <w:pPr>
        <w:ind w:left="5468" w:hanging="360"/>
      </w:pPr>
    </w:lvl>
    <w:lvl w:ilvl="7" w:tplc="04150019">
      <w:start w:val="1"/>
      <w:numFmt w:val="lowerLetter"/>
      <w:lvlText w:val="%8."/>
      <w:lvlJc w:val="left"/>
      <w:pPr>
        <w:ind w:left="6188" w:hanging="360"/>
      </w:pPr>
    </w:lvl>
    <w:lvl w:ilvl="8" w:tplc="0415001B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3EDC2D2A"/>
    <w:multiLevelType w:val="hybridMultilevel"/>
    <w:tmpl w:val="4C1E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7427C"/>
    <w:multiLevelType w:val="hybridMultilevel"/>
    <w:tmpl w:val="688C30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149BE"/>
    <w:multiLevelType w:val="hybridMultilevel"/>
    <w:tmpl w:val="656E8C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11700"/>
    <w:multiLevelType w:val="hybridMultilevel"/>
    <w:tmpl w:val="24809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E4"/>
    <w:rsid w:val="000A4411"/>
    <w:rsid w:val="00195218"/>
    <w:rsid w:val="0027582D"/>
    <w:rsid w:val="002B2FA3"/>
    <w:rsid w:val="002C1A7F"/>
    <w:rsid w:val="00415AC8"/>
    <w:rsid w:val="004470EC"/>
    <w:rsid w:val="004B5CD2"/>
    <w:rsid w:val="004C0900"/>
    <w:rsid w:val="004E5D61"/>
    <w:rsid w:val="00530FE4"/>
    <w:rsid w:val="005C5E9E"/>
    <w:rsid w:val="00642E28"/>
    <w:rsid w:val="00646DEB"/>
    <w:rsid w:val="00691074"/>
    <w:rsid w:val="007A37D2"/>
    <w:rsid w:val="007D41BF"/>
    <w:rsid w:val="00870429"/>
    <w:rsid w:val="009E5221"/>
    <w:rsid w:val="00A10AE8"/>
    <w:rsid w:val="00A22228"/>
    <w:rsid w:val="00AB3BE5"/>
    <w:rsid w:val="00AC34AE"/>
    <w:rsid w:val="00B1567B"/>
    <w:rsid w:val="00B526DC"/>
    <w:rsid w:val="00BB7D23"/>
    <w:rsid w:val="00BF3782"/>
    <w:rsid w:val="00C84AD6"/>
    <w:rsid w:val="00CB1BF5"/>
    <w:rsid w:val="00CF710D"/>
    <w:rsid w:val="00D62284"/>
    <w:rsid w:val="00E84FCF"/>
    <w:rsid w:val="00E9691D"/>
    <w:rsid w:val="00EA4A19"/>
    <w:rsid w:val="00ED3AFD"/>
    <w:rsid w:val="00EE5EF0"/>
    <w:rsid w:val="00F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DD20"/>
  <w15:chartTrackingRefBased/>
  <w15:docId w15:val="{AA5A3960-3457-4E23-8B4C-567AD651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6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6DC"/>
  </w:style>
  <w:style w:type="paragraph" w:styleId="Stopka">
    <w:name w:val="footer"/>
    <w:basedOn w:val="Normalny"/>
    <w:link w:val="StopkaZnak"/>
    <w:uiPriority w:val="99"/>
    <w:unhideWhenUsed/>
    <w:rsid w:val="00B5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6DC"/>
  </w:style>
  <w:style w:type="paragraph" w:styleId="Akapitzlist">
    <w:name w:val="List Paragraph"/>
    <w:basedOn w:val="Normalny"/>
    <w:uiPriority w:val="34"/>
    <w:qFormat/>
    <w:rsid w:val="00AC34A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B7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rometrzawod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2168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Pietrzak</dc:creator>
  <cp:keywords/>
  <dc:description/>
  <cp:lastModifiedBy>Alicja Pietrzak</cp:lastModifiedBy>
  <cp:revision>17</cp:revision>
  <dcterms:created xsi:type="dcterms:W3CDTF">2026-02-25T08:46:00Z</dcterms:created>
  <dcterms:modified xsi:type="dcterms:W3CDTF">2026-04-01T10:33:00Z</dcterms:modified>
</cp:coreProperties>
</file>